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0966.xml.htm"/>
      <w:bookmarkStart w:id="1" w:name="kswkform4_17890709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Mumford Lisa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Ellington Financial Inc.</w:t>
              </w:r>
            </w:hyperlink>
            <w:r>
              <w:rPr/>
              <w:t xml:space="preserve"> [ </w:t>
            </w:r>
            <w:r>
              <w:rPr>
                <w:rFonts w:ascii="Times;serif" w:hAnsi="Times;serif"/>
                <w:color w:val="0000FF"/>
                <w:sz w:val="24"/>
                <w:shd w:fill="FFFFFF" w:val="clear"/>
              </w:rPr>
              <w:t>EFC</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10,181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98,954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10,181 shares of common stock, $0.001 par value per share (the "Common Shares") remain forfeitable, subject to the reporting person's continued service as a member of the board of directors of Ellington Financial Inc. (the "Company"), until September 8, 2027. The Common Shares were issued pursuant to, and are subject to the terms and conditions of the Company's 2026 Equity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Alaael-Deen Shilleh, as attorney-in-fact for Lisa Mumford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0384" TargetMode="External"/><Relationship Id="rId5" Type="http://schemas.openxmlformats.org/officeDocument/2006/relationships/hyperlink" Target="http://www.sec.gov/cgi-bin/browse-edgar?action=getcompany&amp;CIK=00014113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3411</Characters>
  <CharactersWithSpaces>3971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