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October 27,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Other Events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being furnished by Ellington Financial Inc. (the "Company") pursuant to Item 7.01 of Form 8-K in satisfaction of the public disclosure requirements of Regulation FD.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October 27, 2026, the Company issued a press release announcing its estimated book value per share of common stock as of September 30, 2026. A copy of the press release is furnished herewith as Exhibit 99.1 to this Current Report on Form 8-K and is incorporated herein by reference.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 this Current Report on Form 8-K.</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hibitx926bvrelease1.htm">
        <w:r>
          <w:rPr>
            <w:rStyle w:val="InternetLink"/>
          </w:rPr>
          <w:t xml:space="preserve">Press release dated </w:t>
        </w:r>
      </w:hyperlink>
      <w:hyperlink w:anchor="efc-exhibitx926bvrelease1.htm">
        <w:r>
          <w:rPr>
            <w:rStyle w:val="InternetLink"/>
          </w:rPr>
          <w:t>October 27</w:t>
        </w:r>
      </w:hyperlink>
      <w:hyperlink w:anchor="efc-exhibitx926bvrelease1.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392" w:type="dxa"/>
        <w:jc w:val="left"/>
        <w:tblInd w:w="0" w:type="dxa"/>
        <w:tblLayout w:type="fixed"/>
        <w:tblCellMar>
          <w:top w:w="28" w:type="dxa"/>
          <w:left w:w="28" w:type="dxa"/>
          <w:bottom w:w="28" w:type="dxa"/>
          <w:right w:w="28" w:type="dxa"/>
        </w:tblCellMar>
      </w:tblPr>
      <w:tblGrid>
        <w:gridCol w:w="216"/>
        <w:gridCol w:w="191"/>
        <w:gridCol w:w="192"/>
        <w:gridCol w:w="504"/>
        <w:gridCol w:w="504"/>
        <w:gridCol w:w="50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Estimated Book Value Per Common Share as of September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October 27, 2026—Ellington Financial Inc. (NYSE: EFC) ("we") today announced an estimated book value per share of common stock of $13.53 as of September 30, 2026. This estimate includes the effect of the previously announced monthly dividend of $0.13 per share of common stock, to be paid on October 30, 2026 to holders of record on September 30, 2026, with the same ex-dividend date.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September 30, 2026 is indicative of what our results are likely to be for the three- or nine- month periods ended September 30, 2026 or in future periods, and we undertake no obligation to update or revise our estimated book value per common share prior to issuance of financial statements for such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7496</Characters>
  <CharactersWithSpaces>8764</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