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071019.xml.htm"/>
      <w:bookmarkStart w:id="1" w:name="kswkform4_178907101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Resendez Edward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53 FOREST AVENUE</w:t>
                  </w:r>
                </w:p>
              </w:tc>
            </w:tr>
            <w:tr>
              <w:trPr/>
              <w:tc>
                <w:tcPr>
                  <w:tcW w:w="345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OLD GREENWICH</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06870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Ellington Financial Inc.</w:t>
              </w:r>
            </w:hyperlink>
            <w:r>
              <w:rPr/>
              <w:t xml:space="preserve"> [ </w:t>
            </w:r>
            <w:r>
              <w:rPr>
                <w:rFonts w:ascii="Times;serif" w:hAnsi="Times;serif"/>
                <w:color w:val="0000FF"/>
                <w:sz w:val="24"/>
                <w:shd w:fill="FFFFFF" w:val="clear"/>
              </w:rPr>
              <w:t>EFC</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09/09/2026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2,500</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OP LTIP Units</w:t>
            </w:r>
            <w:r>
              <w:rPr>
                <w:rFonts w:ascii="Times;serif" w:hAnsi="Times;serif"/>
                <w:color w:val="008000"/>
                <w:position w:val="7"/>
                <w:sz w:val="16"/>
                <w:sz w:val="20"/>
                <w:shd w:fill="FFFFFF" w:val="clear"/>
              </w:rPr>
              <w:t>(1)</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09/09/2026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10,181</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Units</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10,181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76,548</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 separate non-voting class of limited liability company interests ("OP LTIP Units") of Ellington Financial Operating Partnership LLC (the "Operating Partnership"), the operating partnership of Ellington Financial Inc. (the "Company").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10,181 OP LTIP Units remain forfeitable, subject to the reporting person's continued service as a member of the board of directors of the Company, until September 8, 2027. The OP LTIP Units may be converted, upon lapse of the vesting restrictions described above, at the election of the holder, or at any time at the election of the Company, into limited liability company interests of the Operating Partnership designated as common units ("Common Units") on a one-for-one basis. Subject to certain conditions, the Common Units are redeemable by the holder for an equivalent number of shares of common stock of the Company, $0.001 par value per share (the "Common Shares") or for the cash value of such Common Shares, at the Company's election. The OP LTIP Units were issued pursuant to, and are subject to the terms and conditions of the Company's 2026 Equity Incentive Plan.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Alaael-Deen Shilleh, as attorney-in-fact for Edward Resendez</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74809" TargetMode="External"/><Relationship Id="rId5" Type="http://schemas.openxmlformats.org/officeDocument/2006/relationships/hyperlink" Target="http://www.sec.gov/cgi-bin/browse-edgar?action=getcompany&amp;CIK=000141134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754</Words>
  <Characters>4081</Characters>
  <CharactersWithSpaces>4760</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