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100" w:after="283"/>
        <w:jc w:val="center"/>
        <w:rPr/>
      </w:pPr>
      <w:r>
        <w:rPr>
          <w:rFonts w:ascii="Times New Roman;serif" w:hAnsi="Times New Roman;serif"/>
          <w:b w:val="false"/>
          <w:color w:val="000000"/>
          <w:sz w:val="20"/>
        </w:rPr>
        <w:t xml:space="preserve">Date of Report (Date of earliest event reported): </w:t>
      </w:r>
      <w:r>
        <w:rPr>
          <w:rFonts w:ascii="Times New Roman;serif" w:hAnsi="Times New Roman;serif"/>
          <w:b/>
          <w:color w:val="000000"/>
          <w:sz w:val="24"/>
        </w:rPr>
        <w:t>September 14, 2026</w:t>
      </w:r>
    </w:p>
    <w:p>
      <w:pPr>
        <w:pStyle w:val="TextBody"/>
        <w:bidi w:val="0"/>
        <w:spacing w:lineRule="auto" w:line="288" w:before="180" w:after="283"/>
        <w:jc w:val="center"/>
        <w:rPr>
          <w:rFonts w:ascii="Times New Roman;serif" w:hAnsi="Times New Roman;serif"/>
          <w:b/>
          <w:color w:val="000000"/>
          <w:sz w:val="48"/>
        </w:rPr>
      </w:pPr>
      <w:r>
        <w:rPr>
          <w:rFonts w:ascii="Times New Roman;serif" w:hAnsi="Times New Roman;serif"/>
          <w:b/>
          <w:color w:val="000000"/>
          <w:sz w:val="48"/>
        </w:rPr>
        <w:t>ELLINGTON FINANCIAL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092" w:type="dxa"/>
        <w:jc w:val="center"/>
        <w:tblInd w:w="0" w:type="dxa"/>
        <w:tblLayout w:type="fixed"/>
        <w:tblCellMar>
          <w:top w:w="28" w:type="dxa"/>
          <w:left w:w="28" w:type="dxa"/>
          <w:bottom w:w="28" w:type="dxa"/>
          <w:right w:w="28" w:type="dxa"/>
        </w:tblCellMar>
      </w:tblPr>
      <w:tblGrid>
        <w:gridCol w:w="813"/>
        <w:gridCol w:w="714"/>
        <w:gridCol w:w="722"/>
        <w:gridCol w:w="109"/>
        <w:gridCol w:w="109"/>
        <w:gridCol w:w="109"/>
        <w:gridCol w:w="762"/>
        <w:gridCol w:w="762"/>
        <w:gridCol w:w="770"/>
        <w:gridCol w:w="109"/>
        <w:gridCol w:w="109"/>
        <w:gridCol w:w="109"/>
        <w:gridCol w:w="845"/>
        <w:gridCol w:w="845"/>
        <w:gridCol w:w="1205"/>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001-34569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26-0489289</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53 Forest Avenue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Old Greenwich, CT 06870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and zip code of principal executive offices)</w:t>
      </w:r>
    </w:p>
    <w:p>
      <w:pPr>
        <w:pStyle w:val="TextBody"/>
        <w:bidi w:val="0"/>
        <w:spacing w:lineRule="auto" w:line="288" w:before="90" w:after="283"/>
        <w:jc w:val="center"/>
        <w:rPr/>
      </w:pPr>
      <w:r>
        <w:rPr>
          <w:rFonts w:ascii="Times New Roman;serif" w:hAnsi="Times New Roman;serif"/>
          <w:b w:val="false"/>
          <w:color w:val="000000"/>
          <w:sz w:val="20"/>
        </w:rPr>
        <w:t>Registrant's telephone number, including area code:</w:t>
      </w:r>
      <w:r>
        <w:rPr>
          <w:color w:val="000000"/>
        </w:rPr>
        <w:t xml:space="preserve"> </w:t>
      </w:r>
      <w:r>
        <w:rPr>
          <w:rFonts w:ascii="Times New Roman;serif" w:hAnsi="Times New Roman;serif"/>
          <w:b/>
          <w:color w:val="000000"/>
          <w:sz w:val="20"/>
        </w:rPr>
        <w:t>(203) 698-1200</w:t>
      </w:r>
    </w:p>
    <w:p>
      <w:pPr>
        <w:pStyle w:val="TextBody"/>
        <w:bidi w:val="0"/>
        <w:spacing w:lineRule="auto" w:line="288" w:before="9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(Former Name or Address, if Changed Since Last Report) </w:t>
      </w:r>
    </w:p>
    <w:p>
      <w:pPr>
        <w:pStyle w:val="TextBody"/>
        <w:bidi w:val="0"/>
        <w:spacing w:lineRule="auto" w:line="288" w:before="9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743"/>
        <w:gridCol w:w="1426"/>
        <w:gridCol w:w="1442"/>
        <w:gridCol w:w="109"/>
        <w:gridCol w:w="109"/>
        <w:gridCol w:w="109"/>
        <w:gridCol w:w="504"/>
        <w:gridCol w:w="504"/>
        <w:gridCol w:w="506"/>
        <w:gridCol w:w="109"/>
        <w:gridCol w:w="109"/>
        <w:gridCol w:w="109"/>
        <w:gridCol w:w="999"/>
        <w:gridCol w:w="999"/>
        <w:gridCol w:w="1428"/>
      </w:tblGrid>
      <w:tr>
        <w:trPr/>
        <w:tc>
          <w:tcPr>
            <w:tcW w:w="174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r>
      <w:tr>
        <w:trPr/>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6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EFC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r>
        <w:trPr/>
        <w:tc>
          <w:tcPr>
            <w:tcW w:w="46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6.250% Series B Fixed-Rate Reset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Cumulative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EFC PR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r>
        <w:trPr/>
        <w:tc>
          <w:tcPr>
            <w:tcW w:w="46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8.625% Series C Fixed-Rate Reset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Cumulative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EFC PR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r>
        <w:trPr/>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7.00% Series D Cumulative Perpetual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EFC PRD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bl>
    <w:p>
      <w:pPr>
        <w:pStyle w:val="TextBody"/>
        <w:bidi w:val="0"/>
        <w:spacing w:lineRule="auto" w:line="288" w:before="9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90" w:after="283"/>
        <w:ind w:left="0" w:right="0" w:firstLine="450"/>
        <w:jc w:val="left"/>
        <w:rPr/>
      </w:pPr>
      <w:r>
        <w:rPr>
          <w:rFonts w:ascii="Times New Roman;serif" w:hAnsi="Times New Roman;serif"/>
          <w:b w:val="false"/>
          <w:color w:val="000000"/>
          <w:sz w:val="20"/>
        </w:rPr>
        <w:t>Emerging growth company    </w:t>
      </w:r>
      <w:r>
        <w:rPr>
          <w:color w:val="000000"/>
        </w:rPr>
        <w:t>☐</w:t>
      </w:r>
    </w:p>
    <w:p>
      <w:pPr>
        <w:pStyle w:val="TextBody"/>
        <w:bidi w:val="0"/>
        <w:spacing w:lineRule="auto" w:line="288" w:before="90" w:after="283"/>
        <w:ind w:left="0" w:right="0" w:firstLine="45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September 14, 2026, Ellington Financial Inc. (the “Company”) issued a press release announcing the pricing of its previously announced offering, which was upsized from $100 million to $150 million in aggregate principal amount, of 7.375% senior unsecured notes due 2030 (the “New Notes” and, such offering, the “Senior Notes Offering”) through certain of its subsidiaries (such subsidiaries, the “Issuers”). The Senior Notes Offering is expected to close on September 17, 2026, subject to customary closing conditions. A copy of the Company’s press release with respect to the Senior Notes Offering is filed as Exhibit 99.1 to this Current Report on Form 8-K and is incorporated in this Item 8.01 by reference.</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New Notes were offered as additional notes under the indenture, dated as of October 6, 2025 (the “Indenture”), pursuant to which the Issuers previously issued $400 million in aggregate principal amount of 7.375% senior unsecured notes due 2030 (the “Existing Notes”). The New Notes will be treated as a single class with the Existing Notes for all purposes under the Indenture and will have identical terms as the Existing Notes (other than the issue date, the first record date, the first interest payment date, the date from which interest will accrue and the issue price).</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New Notes will be senior unsecured obligations of the Issuers and will be fully and unconditionally guaranteed by the Company. The Company expects to use the net proceeds from the Senior Notes Offering for general corporate purposes, including repaying a portion of the borrowings under the Company’s outstanding repurchase agreements and funding purchases of additional assets in accordance with its investment objectives and strategies.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New Notes and the guarantee have not been registered under the Securities Act of 1933, as amended (the “Securities Act”), or the securities laws of any other jurisdiction, and unless so registered, may not be offered or sold in the United States except pursuant to an exemption from, or in a transaction not subject to, the registration requirements of the Securities Act and the securities laws of any other applicable jurisdiction. The New Notes were offered only to persons reasonably believed to be qualified institutional buyers under Rule 144A under the Securities Act and to non-U.S. persons outside the United States in reliance on Regulation S under the Securities Act.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This report is neither an offer to sell nor a solicitation of an offer to buy the New Notes or any other securities and shall not constitute an offer to sell or a solicitation of an offer to buy, or a sale of, the New Notes or any other securities in any jurisdiction in which such offer, solicitation or sale is unlawful. </w:t>
      </w:r>
    </w:p>
    <w:p>
      <w:pPr>
        <w:pStyle w:val="TextBody"/>
        <w:bidi w:val="0"/>
        <w:spacing w:lineRule="auto" w:line="288" w:before="270" w:after="283"/>
        <w:jc w:val="left"/>
        <w:rPr/>
      </w:pPr>
      <w:r>
        <w:rPr>
          <w:rFonts w:ascii="Times New Roman;serif" w:hAnsi="Times New Roman;serif"/>
          <w:b/>
          <w:color w:val="000000"/>
          <w:sz w:val="20"/>
        </w:rPr>
        <w:t>Item 9.01</w:t>
      </w:r>
      <w:r>
        <w:rPr>
          <w:color w:val="000000"/>
        </w:rPr>
        <w:t>    </w:t>
      </w:r>
      <w:r>
        <w:rPr>
          <w:rFonts w:ascii="Times New Roman;serif" w:hAnsi="Times New Roman;serif"/>
          <w:b/>
          <w:color w:val="000000"/>
          <w:sz w:val="20"/>
        </w:rPr>
        <w:t>Financial Statements and Exhibits.</w:t>
      </w:r>
    </w:p>
    <w:p>
      <w:pPr>
        <w:pStyle w:val="TextBody"/>
        <w:bidi w:val="0"/>
        <w:spacing w:lineRule="auto" w:line="288" w:before="9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The following exhibit is being furnished herewith this Current Report on Form 8-K. </w:t>
      </w:r>
    </w:p>
    <w:p>
      <w:pPr>
        <w:pStyle w:val="TextBody"/>
        <w:bidi w:val="0"/>
        <w:spacing w:before="0" w:after="0"/>
        <w:ind w:left="0" w:right="0" w:firstLine="495"/>
        <w:jc w:val="left"/>
        <w:rPr/>
      </w:pPr>
      <w:r>
        <w:rPr/>
      </w:r>
    </w:p>
    <w:p>
      <w:pPr>
        <w:pStyle w:val="TextBody"/>
        <w:bidi w:val="0"/>
        <w:spacing w:lineRule="auto" w:line="288" w:before="0" w:after="0"/>
        <w:ind w:left="0" w:right="0" w:firstLine="675"/>
        <w:jc w:val="left"/>
        <w:rPr/>
      </w:pPr>
      <w:r>
        <w:rPr>
          <w:rFonts w:ascii="Times New Roman;serif" w:hAnsi="Times New Roman;serif"/>
          <w:b w:val="false"/>
          <w:color w:val="000000"/>
          <w:sz w:val="20"/>
        </w:rPr>
        <w:t>99.1   </w:t>
      </w:r>
      <w:hyperlink w:anchor="efc-exxhynotesofferingxpri.htm">
        <w:r>
          <w:rPr>
            <w:rStyle w:val="InternetLink"/>
            <w:rFonts w:ascii="Times New Roman;serif" w:hAnsi="Times New Roman;serif"/>
            <w:b w:val="false"/>
            <w:color w:val="0000FF"/>
            <w:sz w:val="20"/>
            <w:u w:val="single"/>
          </w:rPr>
          <w:t>Press release dated September 14, 2026</w:t>
        </w:r>
      </w:hyperlink>
    </w:p>
    <w:p>
      <w:pPr>
        <w:pStyle w:val="TextBody"/>
        <w:bidi w:val="0"/>
        <w:spacing w:lineRule="auto" w:line="288" w:before="0" w:after="0"/>
        <w:ind w:left="0" w:right="0" w:firstLine="675"/>
        <w:jc w:val="left"/>
        <w:rPr>
          <w:rFonts w:ascii="Times New Roman;serif" w:hAnsi="Times New Roman;serif"/>
          <w:b w:val="false"/>
          <w:color w:val="000000"/>
          <w:sz w:val="20"/>
        </w:rPr>
      </w:pPr>
      <w:r>
        <w:rPr>
          <w:rFonts w:ascii="Times New Roman;serif" w:hAnsi="Times New Roman;serif"/>
          <w:b w:val="false"/>
          <w:color w:val="000000"/>
          <w:sz w:val="20"/>
        </w:rPr>
        <w:t>104 Cover Page Interactive Data File (embedded within the Inline XBRL document)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6602" w:type="dxa"/>
        <w:jc w:val="left"/>
        <w:tblInd w:w="0" w:type="dxa"/>
        <w:tblLayout w:type="fixed"/>
        <w:tblCellMar>
          <w:top w:w="28" w:type="dxa"/>
          <w:left w:w="28" w:type="dxa"/>
          <w:bottom w:w="28" w:type="dxa"/>
          <w:right w:w="28" w:type="dxa"/>
        </w:tblCellMar>
      </w:tblPr>
      <w:tblGrid>
        <w:gridCol w:w="216"/>
        <w:gridCol w:w="191"/>
        <w:gridCol w:w="192"/>
        <w:gridCol w:w="574"/>
        <w:gridCol w:w="574"/>
        <w:gridCol w:w="576"/>
        <w:gridCol w:w="109"/>
        <w:gridCol w:w="109"/>
        <w:gridCol w:w="109"/>
        <w:gridCol w:w="109"/>
        <w:gridCol w:w="109"/>
        <w:gridCol w:w="109"/>
        <w:gridCol w:w="134"/>
        <w:gridCol w:w="134"/>
        <w:gridCol w:w="136"/>
        <w:gridCol w:w="109"/>
        <w:gridCol w:w="109"/>
        <w:gridCol w:w="109"/>
        <w:gridCol w:w="847"/>
        <w:gridCol w:w="847"/>
        <w:gridCol w:w="1200"/>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ELLINGTON FINANCIAL INC.</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JR Herlihy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JR Herlihy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Ellington Financial Announces Upsizing and Pricing of Additional 7.375% Senior Unsecured Notes Due 2030</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OLD GREENWICH, Conn., September 14, 2026—Ellington Financial Inc. (NYSE: EFC) (the “Company”) today announced the pricing of its previously announced offering, which was upsized from $100 million to $150 million in aggregate principal amount, of 7.375% senior unsecured notes due 2030 (the “New Notes”) through certain of its subsidiaries (such subsidiaries, the “Issuers”). The New Notes will be senior unsecured obligations of the Issuers and will be fully and unconditionally guaranteed by the Company. The offering is expected to close on September 17, 2026 subject to customary closing conditions. The New Notes were issued at a price of 99.010% of their principal amount, with a yield to maturity of 7.663%.</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New Notes were offered as additional notes under the indenture, dated as of October 6, 2025 (the “Indenture”), pursuant to which the Issuers previously issued $400 million in aggregate principal amount of 7.375% senior unsecured notes due 2030 (the “Existing Notes”). The New Notes will be treated as a single class with the Existing Notes for all purposes under the Indenture, and will have identical terms and conditions as the Existing Notes (other than the issue date, the first record date, the first interest payment date, the date from which interest will accrue and the issue price).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expects to use the net proceeds from the offering for general corporate purposes, including repaying a portion of the borrowings under the Company’s outstanding repurchase agreements and funding purchases of additional assets in accordance with its investment objectives and strategies.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New Notes and the guarantee have not been registered under the Securities Act of 1933, as amended (the “Securities Act”), or the securities laws of any other jurisdiction, and unless so registered, may not be offered or sold in the United States except pursuant to an exemption from, or in a transaction not subject to, the registration requirements of the Securities Act and the securities laws of any other applicable jurisdiction. The New Notes were offered only to persons reasonably believed to be qualified institutional buyers under Rule 144A under the Securities Act and to non-U.S. persons outside the United States in reliance on Regulation S under the Securities Act.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This press release is neither an offer to sell nor a solicitation of an offer to buy the New Notes or any other securities and shall not constitute an offer to sell or a solicitation of an offer to buy, or a sale of, the New Notes or any other securities in any jurisdiction in which such offer, solicitation or sale is unlawful.</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Cautionary Statement Regarding Forward-Looking Statements</w:t>
      </w:r>
    </w:p>
    <w:p>
      <w:pPr>
        <w:pStyle w:val="TextBody"/>
        <w:bidi w:val="0"/>
        <w:spacing w:lineRule="auto" w:line="288" w:before="9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This press release contains forward-looking statements within the meaning of the safe harbor provisions of the Private Securities Litigation Reform Act of 1995, including those relating to the closing of the offering of the New Notes and the use of proceeds therefrom. Forward-looking statements involve numerous risks and uncertainties. Our actual results may differ from our beliefs, expectations, estimates, and projections and, consequently, you should not rely on these forward-looking statements as predictions of future events. Forward-looking statements are not historical in nature and can be identified by words such as "believe," "expect," "anticipate," "estimate," "project," "plan," "continue," "intend," "should," "would," "could," "goal," "objective," "will," "may," "seek" or similar expressions or their negative forms, or by references to strategy, plans, or intentions. Forward-looking statements are based on our beliefs, assumptions and expectations of our future operations, business strategies, performance, financial condition, liquidity and prospects, taking into account information currently available to us. These beliefs, assumptions, and expectations are subject to risks and uncertainties and can change as a result of many possible events or factors, not all of which are known to us. If a change occurs, our business, financial condition, liquidity, results of operations and strategies may vary materially from those expressed or implied in our forward-looking statements. The following factors are examples of those that could cause actual results to vary from our forward-looking statements: risks and uncertainties associated with our ability to complete the offering of the New Notes and general market conditions that might affect the offering, changes in interest rates and the market value of our investments, market volatility, changes in mortgage default rates and prepayment rates, our ability to borrow to finance our assets, changes in government regulations affecting our business, our ability to maintain our exclusion from registration under the Investment Company Act of 1940, our ability to maintain our qualification as a real estate investment trust, or "REIT," and other changes in market conditions and economic trends, such as changes to fiscal or monetary policy, heightened inflation, slower growth or recession, and currency fluctuations. Furthermore, forward-looking statements are subject to risks and uncertainties, including, among other things, those described under Item 1A of our Annual Report on Form 10-K, which can be accessed at the SEC's website (www.sec.gov). Other risks, uncertainties, and factors that could cause actual results to differ materially from those projected or implied may be described from time to time in reports we file with the SEC, including reports on Forms 10-Q, 10-K and 8-K. We undertake no obligation to update or revise any forward-looking statements, whether as a result of new information, future events, or otherwise.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About Ellington Financial</w:t>
      </w:r>
    </w:p>
    <w:p>
      <w:pPr>
        <w:pStyle w:val="TextBody"/>
        <w:bidi w:val="0"/>
        <w:spacing w:lineRule="auto" w:line="288" w:before="90" w:after="283"/>
        <w:jc w:val="left"/>
        <w:rPr>
          <w:rFonts w:ascii="Times New Roman;serif" w:hAnsi="Times New Roman;serif"/>
          <w:b w:val="false"/>
          <w:color w:val="000000"/>
          <w:sz w:val="20"/>
        </w:rPr>
      </w:pPr>
      <w:r>
        <w:rPr>
          <w:rFonts w:ascii="Times New Roman;serif" w:hAnsi="Times New Roman;serif"/>
          <w:b w:val="false"/>
          <w:color w:val="000000"/>
          <w:sz w:val="20"/>
        </w:rPr>
        <w:t>Ellington Financial invests in a diverse array of financial assets, including residential and commercial mortgage loans and mortgage-backed securities, reverse mortgage loans, mortgage servicing rights and related investments, consumer loans, asset-</w:t>
      </w: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90" w:after="283"/>
        <w:jc w:val="left"/>
        <w:rPr>
          <w:rFonts w:ascii="Times New Roman;serif" w:hAnsi="Times New Roman;serif"/>
          <w:b w:val="false"/>
          <w:color w:val="000000"/>
          <w:sz w:val="20"/>
        </w:rPr>
      </w:pPr>
      <w:r>
        <w:rPr>
          <w:rFonts w:ascii="Times New Roman;serif" w:hAnsi="Times New Roman;serif"/>
          <w:b w:val="false"/>
          <w:color w:val="000000"/>
          <w:sz w:val="20"/>
        </w:rPr>
        <w:t>backed securities, collateralized loan obligations, non-mortgage and mortgage-related derivatives, debt and equity investments in loan origination companies, and other strategic investments. Ellington Financial is externally managed and advised by Ellington Financial Management LLC, an affiliate of Ellington Management Group, L.L.C.</w:t>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1852</Words>
  <Characters>10213</Characters>
  <CharactersWithSpaces>12004</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